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4A11" w14:textId="77777777" w:rsidR="00D31809" w:rsidRPr="00607258" w:rsidRDefault="00D31809" w:rsidP="00607258">
      <w:pPr>
        <w:tabs>
          <w:tab w:val="left" w:pos="3544"/>
        </w:tabs>
        <w:ind w:left="708"/>
        <w:rPr>
          <w:b/>
          <w:bCs/>
          <w:sz w:val="21"/>
          <w:szCs w:val="21"/>
        </w:rPr>
      </w:pPr>
      <w:r w:rsidRPr="00607258">
        <w:rPr>
          <w:b/>
          <w:bCs/>
          <w:sz w:val="21"/>
          <w:szCs w:val="21"/>
        </w:rPr>
        <w:t>Osnova “Informace pro subjekt hodnocení při klinickém hodnocení léčiv”</w:t>
      </w:r>
    </w:p>
    <w:p w14:paraId="55936AEE" w14:textId="77777777" w:rsidR="00D31809" w:rsidRPr="00607258" w:rsidRDefault="00D31809" w:rsidP="00607258">
      <w:pPr>
        <w:tabs>
          <w:tab w:val="left" w:pos="3544"/>
        </w:tabs>
        <w:rPr>
          <w:sz w:val="21"/>
          <w:szCs w:val="21"/>
        </w:rPr>
      </w:pPr>
    </w:p>
    <w:p w14:paraId="137A16F0" w14:textId="77777777" w:rsidR="00D31809" w:rsidRPr="009C4D23" w:rsidRDefault="00D31809" w:rsidP="00607258">
      <w:pPr>
        <w:tabs>
          <w:tab w:val="left" w:pos="3544"/>
        </w:tabs>
        <w:rPr>
          <w:rStyle w:val="Hypertextovodkaz"/>
          <w:color w:val="auto"/>
          <w:sz w:val="21"/>
          <w:szCs w:val="21"/>
          <w:u w:val="none"/>
        </w:rPr>
      </w:pPr>
      <w:r w:rsidRPr="00607258">
        <w:rPr>
          <w:sz w:val="21"/>
          <w:szCs w:val="21"/>
        </w:rPr>
        <w:t xml:space="preserve">K informovanému souhlasu subjektu hodnocení (viz </w:t>
      </w:r>
      <w:hyperlink r:id="rId11" w:history="1">
        <w:r w:rsidRPr="005A4E42">
          <w:rPr>
            <w:rStyle w:val="Hypertextovodkaz"/>
            <w:sz w:val="21"/>
            <w:szCs w:val="21"/>
          </w:rPr>
          <w:t>příloha</w:t>
        </w:r>
        <w:r w:rsidR="00787DF6" w:rsidRPr="005A4E42">
          <w:rPr>
            <w:rStyle w:val="Hypertextovodkaz"/>
            <w:sz w:val="21"/>
            <w:szCs w:val="21"/>
          </w:rPr>
          <w:t xml:space="preserve"> č.</w:t>
        </w:r>
        <w:r w:rsidR="005A4E42" w:rsidRPr="005A4E42">
          <w:rPr>
            <w:rStyle w:val="Hypertextovodkaz"/>
            <w:sz w:val="21"/>
            <w:szCs w:val="21"/>
          </w:rPr>
          <w:t xml:space="preserve"> 4</w:t>
        </w:r>
      </w:hyperlink>
      <w:r w:rsidR="005A4E42">
        <w:rPr>
          <w:sz w:val="21"/>
          <w:szCs w:val="21"/>
        </w:rPr>
        <w:t xml:space="preserve"> k SPP-</w:t>
      </w:r>
      <w:r w:rsidRPr="00607258">
        <w:rPr>
          <w:sz w:val="21"/>
          <w:szCs w:val="21"/>
        </w:rPr>
        <w:t xml:space="preserve">03) musí být přiložena i písemná “Informace pro subjekt hodnocení”. Nejvhodnější je informace formou dopisu s oslovením „Vážená paní, vážený pane“ apod. Text musí být srozumitelný pro laika - v českém jazyce, bez používání zkratek a odborných názvů; v případě jejich použití musejí být vysvětleny. EK VFN doporučuje respektovat požadavky na text informací pro subjekty hodnocení a text informovaného souhlasu, uveřejněné v dokumentu Státního ústavu pro kontrolu léčiv jako KLH-22, </w:t>
      </w:r>
      <w:hyperlink r:id="rId12" w:history="1">
        <w:r w:rsidR="00787DF6" w:rsidRPr="00607258">
          <w:rPr>
            <w:rStyle w:val="Hypertextovodkaz"/>
            <w:sz w:val="21"/>
            <w:szCs w:val="21"/>
          </w:rPr>
          <w:t>http://www.sukl.cz/leciva/klh-22-verze-</w:t>
        </w:r>
      </w:hyperlink>
      <w:r w:rsidR="00241A9C">
        <w:rPr>
          <w:rStyle w:val="Hypertextovodkaz"/>
          <w:sz w:val="21"/>
          <w:szCs w:val="21"/>
        </w:rPr>
        <w:t>5</w:t>
      </w:r>
      <w:r w:rsidRPr="00607258">
        <w:rPr>
          <w:rStyle w:val="Hypertextovodkaz"/>
          <w:bCs/>
          <w:iCs/>
          <w:color w:val="auto"/>
          <w:sz w:val="21"/>
          <w:szCs w:val="21"/>
          <w:u w:val="none"/>
        </w:rPr>
        <w:t>.</w:t>
      </w:r>
    </w:p>
    <w:p w14:paraId="4DCEACEF" w14:textId="77777777" w:rsidR="00B22B58" w:rsidRDefault="00B22B58" w:rsidP="00607258">
      <w:pPr>
        <w:tabs>
          <w:tab w:val="left" w:pos="3544"/>
        </w:tabs>
        <w:rPr>
          <w:sz w:val="21"/>
          <w:szCs w:val="21"/>
        </w:rPr>
      </w:pPr>
    </w:p>
    <w:p w14:paraId="0CCD2C10" w14:textId="77777777" w:rsidR="006D028E" w:rsidRDefault="006D028E" w:rsidP="00607258">
      <w:pPr>
        <w:tabs>
          <w:tab w:val="left" w:pos="3544"/>
        </w:tabs>
        <w:rPr>
          <w:sz w:val="21"/>
          <w:szCs w:val="21"/>
        </w:rPr>
      </w:pPr>
      <w:r w:rsidRPr="006D028E">
        <w:rPr>
          <w:sz w:val="21"/>
          <w:szCs w:val="21"/>
        </w:rPr>
        <w:t xml:space="preserve">Rozsah textu Informací pro subjekt hodnocení včetně formuláře Informovaného souhlasu jsou přijaté EK VFN k posouzení, pokud svým rozsahem nepřesáhnou 8‒10 stran, (včetně příloh, a to při použití standardní velikosti písma, např. Times New Roman 12, Arial 11 apod.). Pokud text informace pro subjekt hodnocení spolu s formulářem informovaného souhlasu přesáhne délku 10 stran (u onkologických studií v odůvodněných případech 12 stran), je sekretariát EK VFN oprávněn toto podání vrátit předkladateli a nepředat dokumentaci k odbornému posouzení EK VFN. </w:t>
      </w:r>
      <w:r w:rsidRPr="006D028E">
        <w:rPr>
          <w:b/>
          <w:bCs/>
          <w:sz w:val="21"/>
          <w:szCs w:val="21"/>
        </w:rPr>
        <w:t>U pediatrických klinických hodnocení</w:t>
      </w:r>
      <w:r w:rsidRPr="006D028E">
        <w:rPr>
          <w:sz w:val="21"/>
          <w:szCs w:val="21"/>
        </w:rPr>
        <w:t xml:space="preserve"> mají být předloženy vedle Informací a informovaného souhlasu pro rodiče i stručnější Informace a formulář informovaného svolení pro dítě – subjekt hodnocení ve věkových skupinách 12‒14 let a 15‒17 let, odpovídající jejich schopnosti porozumět obsahu. V poučení subjektu hodnocení a informovaném souhlasu se uvádějí následující údaje:</w:t>
      </w:r>
    </w:p>
    <w:p w14:paraId="3620101E" w14:textId="77777777" w:rsidR="006D028E" w:rsidRPr="00607258" w:rsidRDefault="006D028E" w:rsidP="00607258">
      <w:pPr>
        <w:tabs>
          <w:tab w:val="left" w:pos="3544"/>
        </w:tabs>
        <w:rPr>
          <w:sz w:val="21"/>
          <w:szCs w:val="21"/>
        </w:rPr>
      </w:pPr>
    </w:p>
    <w:p w14:paraId="0717327B" w14:textId="77777777" w:rsidR="006D028E" w:rsidRPr="006D028E" w:rsidRDefault="006D028E" w:rsidP="006D028E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 xml:space="preserve">název studie, její zadavatel, jméno osoby odpovědné za provádění klinické studie (pracovní adresa a telefon), název instituce, která výzkumný projekt realizuje, </w:t>
      </w:r>
    </w:p>
    <w:p w14:paraId="1FF85B86" w14:textId="77777777" w:rsidR="006D028E" w:rsidRPr="006D028E" w:rsidRDefault="006D028E" w:rsidP="006D028E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vhodné oslovení a nabídku účasti ve studii</w:t>
      </w:r>
    </w:p>
    <w:p w14:paraId="15DBD80F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cíle klinické hodnocení (KHL) + upozornění, že jde o výzkumnou činnost,</w:t>
      </w:r>
    </w:p>
    <w:p w14:paraId="2DFC69A7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léčebné postupy a pravděpodobnost náhodného zařazení do jednotlivých skupin lišících se léčbou tam, kde jde o randomizované KHL; zdůraznění prvků, které mají povahu výzkumu,</w:t>
      </w:r>
    </w:p>
    <w:p w14:paraId="476DF9F8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postupy a výkony v průběhu KHL včetně všech invazivních výkonů,</w:t>
      </w:r>
    </w:p>
    <w:p w14:paraId="611B71D0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požadavky na subjekt hodnocení a režimová opatření,</w:t>
      </w:r>
    </w:p>
    <w:p w14:paraId="74EA26C7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předvídatelná rizika či nepříjemnosti pro subjekt hodnocení, včetně případného rizika pro plod nebo kojené dítě,</w:t>
      </w:r>
    </w:p>
    <w:p w14:paraId="55DEA7EA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očekávané přínosy pro subjekt hodnocení při jeho účasti v KHL,</w:t>
      </w:r>
    </w:p>
    <w:p w14:paraId="59DC8D27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alternativní postupy, které mohou být použity pro léčbu subjekt hodnocení, jejich výhody a rizika,</w:t>
      </w:r>
    </w:p>
    <w:p w14:paraId="7D200681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 xml:space="preserve">léčba a podmínky odškodnění, které budou subjektu hodnocení poskytnuty v případě újmy na zdraví vzniklé v souvislosti s jeho účastí v KHL. Všichni účastníci KHL musí být pojištěni podle platné právní úpravy. Může být uveden název pojišťovny, ale musí být uvedeno, že subjekt hodnocení se má v případě újmy na zdraví v důsledku účasti v KHL obrátit na zkoušejícího lékaře a bude mu zajištěna odpovídající lékařská péče. Má právo na náhradu újmy na zdraví v souladu </w:t>
      </w:r>
      <w:r w:rsidRPr="006D028E">
        <w:rPr>
          <w:sz w:val="21"/>
          <w:szCs w:val="21"/>
        </w:rPr>
        <w:lastRenderedPageBreak/>
        <w:t>s platnými právními předpisy (nikoliv jen na úhradu zdravotních nákladů a rovněž nelze poskytnout náhradu jen podle podmínek pojistné smlouvy);</w:t>
      </w:r>
    </w:p>
    <w:p w14:paraId="50A66DEF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konkrétní výše odměny</w:t>
      </w:r>
      <w:r w:rsidRPr="006D028E">
        <w:rPr>
          <w:rStyle w:val="Znakapoznpodarou"/>
          <w:sz w:val="21"/>
          <w:szCs w:val="21"/>
        </w:rPr>
        <w:footnoteReference w:id="1"/>
      </w:r>
      <w:r w:rsidRPr="006D028E">
        <w:rPr>
          <w:sz w:val="21"/>
          <w:szCs w:val="21"/>
        </w:rPr>
        <w:t xml:space="preserve"> či kompenzace</w:t>
      </w:r>
      <w:r w:rsidRPr="006D028E">
        <w:rPr>
          <w:rStyle w:val="Znakapoznpodarou"/>
          <w:sz w:val="21"/>
          <w:szCs w:val="21"/>
        </w:rPr>
        <w:footnoteReference w:id="2"/>
      </w:r>
      <w:r w:rsidRPr="006D028E">
        <w:rPr>
          <w:sz w:val="21"/>
          <w:szCs w:val="21"/>
        </w:rPr>
        <w:t xml:space="preserve"> subjektu hodnocení za jeho účast v KHL,</w:t>
      </w:r>
    </w:p>
    <w:p w14:paraId="1BD45965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předpokládané výdaje subjektu hodnocení v souvislosti s účastí v KHL a konkrétní způsob jejich kompenzace,</w:t>
      </w:r>
    </w:p>
    <w:p w14:paraId="3C763CED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informaci o tom, že účast subjektu hodnocení v KHL je dobrovolná a že subjekt hodnocení může odmítnout nebo odstoupit od účasti v KHL kdykoliv, bez postihu či ztrát výhod, na něž má jinak nárok,</w:t>
      </w:r>
    </w:p>
    <w:p w14:paraId="1F0C23A5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 xml:space="preserve">souhlas s tím, že do osobních záznamů ve zdravotnické dokumentaci, má přístup pouze zkoušející lékař a pověření zástupci zadavatele (monitor, auditoři), osoby pověřené národními kontrolními úřady (v ČR Státní ústav pro kontrolu léčiv), a příslušné etické komise, pověřené dohledem nad průběhem hodnocení. Tyto osoby jsou vázány povinnou mlčenlivostí. Všechny údaje a odebrané vzorky získané v KHL budou odeslány zadavateli pouze v kódované podobě. Údaje umožňující zjistit totožnost subjektu hodnocení tak neopustí pracoviště zkoušejícího lékaře; </w:t>
      </w:r>
    </w:p>
    <w:p w14:paraId="2FC038B9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souhlas s tím, že veškeré záznamy, z nichž lze identifikovat subjekt hodnocení, budou uchovávány jako důvěrné a bude s nimi nakládáno v souladu s platnými právními předpisy a se zákonem č.110/2019 Sb., o ochraně osobních údajů. Budou-li výsledky KHL publikovány, totožnost subjektu hodnocení nebude zveřejněna,</w:t>
      </w:r>
    </w:p>
    <w:p w14:paraId="7C4CEB7E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souhlas s tím, že subjekt hodnocení nebo jeho zákonný zástupce budou včas informováni, pokud by se vyskytla informace rozhodujícího významu pro pokračování v účasti v KHL,</w:t>
      </w:r>
    </w:p>
    <w:p w14:paraId="2DF33C42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color w:val="000000"/>
          <w:sz w:val="21"/>
          <w:szCs w:val="21"/>
          <w:shd w:val="clear" w:color="auto" w:fill="FFFFFF"/>
        </w:rPr>
        <w:t>souhlas s tím, že subjekt hodnocení anebo jeho zákonný zástupce budou včas informováni, pokud by se vyskytla informace, která by mohla mít význam pro rozhodnutí subjektu hodnocení pokračovat v účasti v KHL,</w:t>
      </w:r>
    </w:p>
    <w:p w14:paraId="675B70A3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informace o osobách, od kterých je možné získat další informace o KHL a právech subjektů hodnocení; informace o tom, koho kontaktovat při újmě na zdraví v souvislosti s KHL,</w:t>
      </w:r>
    </w:p>
    <w:p w14:paraId="39FD140D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předvídatelné okolnosti a důvody, pro které může být účast subjektu hodnocení v KHL ukončena,</w:t>
      </w:r>
    </w:p>
    <w:p w14:paraId="3CF713B6" w14:textId="77777777" w:rsidR="006D028E" w:rsidRPr="006D028E" w:rsidRDefault="006D028E" w:rsidP="006D028E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předpokládaná doba trvání účasti subjektu hodnocení v KHL; přibližný počet účastníků KHL,</w:t>
      </w:r>
    </w:p>
    <w:p w14:paraId="6DBBF08D" w14:textId="77777777" w:rsidR="006D028E" w:rsidRPr="006D028E" w:rsidRDefault="006D028E" w:rsidP="006D028E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informace o tom, že pacientovi bude předložen k podpisu Informovaný souhlas,</w:t>
      </w:r>
    </w:p>
    <w:p w14:paraId="5E083D58" w14:textId="77777777" w:rsidR="006D028E" w:rsidRPr="006D028E" w:rsidRDefault="006D028E" w:rsidP="006D028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ind w:left="357" w:hanging="357"/>
        <w:textAlignment w:val="baseline"/>
        <w:rPr>
          <w:sz w:val="21"/>
          <w:szCs w:val="21"/>
        </w:rPr>
      </w:pPr>
      <w:r w:rsidRPr="006D028E">
        <w:rPr>
          <w:sz w:val="21"/>
          <w:szCs w:val="21"/>
        </w:rPr>
        <w:t>subjekt hodnocení obdrží stejnopis Informací pro subjekt hodnocení a informovaného souhlasu pro vlastní potřebu.</w:t>
      </w:r>
    </w:p>
    <w:p w14:paraId="7D263700" w14:textId="77777777" w:rsidR="009C5966" w:rsidRPr="009C5966" w:rsidRDefault="009C5966" w:rsidP="009C5966">
      <w:pPr>
        <w:spacing w:after="120"/>
        <w:rPr>
          <w:u w:val="single"/>
        </w:rPr>
      </w:pPr>
      <w:r w:rsidRPr="009C5966">
        <w:rPr>
          <w:b/>
          <w:bCs/>
        </w:rPr>
        <w:t>Poznámka:</w:t>
      </w:r>
      <w:r>
        <w:t xml:space="preserve"> </w:t>
      </w:r>
      <w:r w:rsidRPr="009C5966">
        <w:rPr>
          <w:u w:val="single"/>
        </w:rPr>
        <w:t>Pojmy užívané v textu informací pro subjekty hodnocení v oblasti ochrany osobních údajů:</w:t>
      </w:r>
    </w:p>
    <w:p w14:paraId="3E18F9A1" w14:textId="77777777" w:rsidR="009C5966" w:rsidRPr="00A0270B" w:rsidRDefault="009C5966" w:rsidP="00A0270B">
      <w:pPr>
        <w:pStyle w:val="Odstavecseseznamem"/>
        <w:ind w:left="360"/>
        <w:rPr>
          <w:sz w:val="21"/>
          <w:szCs w:val="21"/>
        </w:rPr>
      </w:pPr>
      <w:r w:rsidRPr="00A0270B">
        <w:rPr>
          <w:sz w:val="21"/>
          <w:szCs w:val="21"/>
        </w:rPr>
        <w:lastRenderedPageBreak/>
        <w:t xml:space="preserve">Oblast ochrany osobních údajů upravuje zejména Nařízení EP a Rady č. 2016/679 </w:t>
      </w:r>
      <w:r w:rsidRPr="00A0270B">
        <w:rPr>
          <w:sz w:val="21"/>
          <w:szCs w:val="21"/>
        </w:rPr>
        <w:br/>
        <w:t xml:space="preserve">o ochraně fyzických osob v souvislosti se zpracováním osobních údajů a o volném pohybu těchto údajů (dále jen „GDPR“). Dalšími předpisy upravující tuto oblast je </w:t>
      </w:r>
      <w:r w:rsidRPr="00A0270B">
        <w:rPr>
          <w:sz w:val="21"/>
          <w:szCs w:val="21"/>
        </w:rPr>
        <w:br/>
        <w:t>zákon č. 89/2012 Sb., občanský zákoník, ve znění pozdějších předpisů a zákon č. 110/2019 Sb., o zpracování osobních údajů.</w:t>
      </w:r>
      <w:r w:rsidRPr="00A0270B">
        <w:rPr>
          <w:rStyle w:val="Znakapoznpodarou"/>
          <w:sz w:val="21"/>
          <w:szCs w:val="21"/>
        </w:rPr>
        <w:footnoteReference w:id="3"/>
      </w:r>
      <w:r w:rsidRPr="00A0270B">
        <w:rPr>
          <w:sz w:val="21"/>
          <w:szCs w:val="21"/>
        </w:rPr>
        <w:t xml:space="preserve"> </w:t>
      </w:r>
    </w:p>
    <w:p w14:paraId="5F2D6E6D" w14:textId="77777777" w:rsidR="009C5966" w:rsidRPr="00A0270B" w:rsidRDefault="009C5966" w:rsidP="00A0270B">
      <w:pPr>
        <w:pStyle w:val="Odstavecseseznamem"/>
        <w:ind w:left="360"/>
        <w:rPr>
          <w:sz w:val="21"/>
          <w:szCs w:val="21"/>
        </w:rPr>
      </w:pPr>
      <w:r w:rsidRPr="00A0270B">
        <w:rPr>
          <w:sz w:val="21"/>
          <w:szCs w:val="21"/>
        </w:rPr>
        <w:t xml:space="preserve">Před účinností GDPR se v informacích pro subjekty hodnocení často uvádělo, že jsou v klinickém hodnocení léčiv, ale i v jiných výzkumných projektech, zpracovávány kódované údaje. Nyní se častěji používá pojem upravený v GDPR ‒ </w:t>
      </w:r>
      <w:proofErr w:type="spellStart"/>
      <w:r w:rsidRPr="00A0270B">
        <w:rPr>
          <w:b/>
          <w:bCs/>
          <w:sz w:val="21"/>
          <w:szCs w:val="21"/>
        </w:rPr>
        <w:t>pseudonymizované</w:t>
      </w:r>
      <w:proofErr w:type="spellEnd"/>
      <w:r w:rsidRPr="00A0270B">
        <w:rPr>
          <w:b/>
          <w:bCs/>
          <w:sz w:val="21"/>
          <w:szCs w:val="21"/>
        </w:rPr>
        <w:t xml:space="preserve"> údaje</w:t>
      </w:r>
      <w:r w:rsidRPr="00A0270B">
        <w:rPr>
          <w:sz w:val="21"/>
          <w:szCs w:val="21"/>
        </w:rPr>
        <w:t xml:space="preserve">. </w:t>
      </w:r>
      <w:bookmarkStart w:id="0" w:name="_Hlk17232239"/>
      <w:r w:rsidRPr="00A0270B">
        <w:rPr>
          <w:sz w:val="21"/>
          <w:szCs w:val="21"/>
        </w:rPr>
        <w:t xml:space="preserve">Pseudonymizací osobních údajů dochází se skrytí identity. Díky tomu je možné získávat </w:t>
      </w:r>
      <w:r w:rsidRPr="00A0270B">
        <w:rPr>
          <w:sz w:val="21"/>
          <w:szCs w:val="21"/>
        </w:rPr>
        <w:br/>
        <w:t xml:space="preserve">a dále zpracovávat další údaje týkající se stejné osoby, aniž by bylo nutné znát její totožnost. Příkladem pseudonymizace je kódování údajů pomocí určitého klíče. Klíč spojující údaje shromažďované o konkrétní osobě a identifikátory osoby (jméno a příjmení, adresa a datum narození apod.) se uchovávají odděleně v tzv. </w:t>
      </w:r>
      <w:proofErr w:type="spellStart"/>
      <w:r w:rsidRPr="00A0270B">
        <w:rPr>
          <w:sz w:val="21"/>
          <w:szCs w:val="21"/>
        </w:rPr>
        <w:t>Patient</w:t>
      </w:r>
      <w:proofErr w:type="spellEnd"/>
      <w:r w:rsidRPr="00A0270B">
        <w:rPr>
          <w:sz w:val="21"/>
          <w:szCs w:val="21"/>
        </w:rPr>
        <w:t xml:space="preserve"> log. Dle Správné klinické praxe pouze </w:t>
      </w:r>
      <w:proofErr w:type="spellStart"/>
      <w:r w:rsidRPr="00A0270B">
        <w:rPr>
          <w:i/>
          <w:iCs/>
          <w:sz w:val="21"/>
          <w:szCs w:val="21"/>
        </w:rPr>
        <w:t>Patient</w:t>
      </w:r>
      <w:proofErr w:type="spellEnd"/>
      <w:r w:rsidRPr="00A0270B">
        <w:rPr>
          <w:i/>
          <w:iCs/>
          <w:sz w:val="21"/>
          <w:szCs w:val="21"/>
        </w:rPr>
        <w:t xml:space="preserve"> log</w:t>
      </w:r>
      <w:r w:rsidRPr="00A0270B">
        <w:rPr>
          <w:sz w:val="21"/>
          <w:szCs w:val="21"/>
        </w:rPr>
        <w:t xml:space="preserve"> obsahuje současně informaci o kódu a informace identifikující konkrétního subjektu hodnocení.  </w:t>
      </w:r>
    </w:p>
    <w:bookmarkEnd w:id="0"/>
    <w:p w14:paraId="6CF23CBD" w14:textId="77777777" w:rsidR="009C5966" w:rsidRPr="00A0270B" w:rsidRDefault="009C5966" w:rsidP="00A0270B">
      <w:pPr>
        <w:pStyle w:val="Odstavecseseznamem"/>
        <w:ind w:left="360"/>
        <w:rPr>
          <w:sz w:val="21"/>
          <w:szCs w:val="21"/>
        </w:rPr>
      </w:pPr>
      <w:proofErr w:type="spellStart"/>
      <w:r w:rsidRPr="00A0270B">
        <w:rPr>
          <w:sz w:val="21"/>
          <w:szCs w:val="21"/>
        </w:rPr>
        <w:t>Pseudonymizované</w:t>
      </w:r>
      <w:proofErr w:type="spellEnd"/>
      <w:r w:rsidRPr="00A0270B">
        <w:rPr>
          <w:sz w:val="21"/>
          <w:szCs w:val="21"/>
        </w:rPr>
        <w:t xml:space="preserve"> údaje jsou osobní údaje ve smyslu GDPR a podléhají regulaci tímto nařízením. Regulaci GDPR naopak nepodléhá zpracování anonymních údajů. V praxi se rozlišují anonymní a anonymizované údaje. Anonymní údaje jsou údaje, které nikdy nebyly spojeny s konkrétní osobou. </w:t>
      </w:r>
      <w:r w:rsidRPr="00A0270B">
        <w:rPr>
          <w:b/>
          <w:bCs/>
          <w:sz w:val="21"/>
          <w:szCs w:val="21"/>
        </w:rPr>
        <w:t>Anonymizované údaje</w:t>
      </w:r>
      <w:r w:rsidRPr="00A0270B">
        <w:rPr>
          <w:sz w:val="21"/>
          <w:szCs w:val="21"/>
        </w:rPr>
        <w:t xml:space="preserve"> byly v minulosti spojeny s konkrétní osobou, ale nyní je klíč vedoucí k identifikaci již zlikvidován. Anonymizace je tak nevratný proces bez možnosti zpětně identifikovat osobu dříve identifikovatelnou.  </w:t>
      </w:r>
    </w:p>
    <w:p w14:paraId="24110324" w14:textId="77777777" w:rsidR="009C5966" w:rsidRPr="00A0270B" w:rsidRDefault="009C5966" w:rsidP="00A0270B">
      <w:pPr>
        <w:pStyle w:val="Odstavecseseznamem"/>
        <w:ind w:left="360"/>
        <w:rPr>
          <w:sz w:val="21"/>
          <w:szCs w:val="21"/>
        </w:rPr>
      </w:pPr>
      <w:r w:rsidRPr="00A0270B">
        <w:rPr>
          <w:sz w:val="21"/>
          <w:szCs w:val="21"/>
        </w:rPr>
        <w:t xml:space="preserve">Z výše uvedeného je zřejmé, že v informacích pro subjekt hodnocení </w:t>
      </w:r>
      <w:r w:rsidRPr="00A0270B">
        <w:rPr>
          <w:sz w:val="21"/>
          <w:szCs w:val="21"/>
          <w:u w:val="single"/>
        </w:rPr>
        <w:t>není možné použít spojení „anonymní pod kódovým označením“.</w:t>
      </w:r>
    </w:p>
    <w:p w14:paraId="3BB245E2" w14:textId="77777777" w:rsidR="00BC7D00" w:rsidRPr="00607258" w:rsidRDefault="00BC7D00" w:rsidP="00607258">
      <w:pPr>
        <w:tabs>
          <w:tab w:val="left" w:pos="3544"/>
        </w:tabs>
        <w:ind w:right="1133"/>
        <w:rPr>
          <w:rFonts w:cs="Segoe UI"/>
          <w:b/>
          <w:bCs/>
          <w:sz w:val="21"/>
          <w:szCs w:val="21"/>
        </w:rPr>
      </w:pPr>
    </w:p>
    <w:sectPr w:rsidR="00BC7D00" w:rsidRPr="00607258" w:rsidSect="00B22B58">
      <w:headerReference w:type="default" r:id="rId13"/>
      <w:footerReference w:type="default" r:id="rId14"/>
      <w:pgSz w:w="11906" w:h="16838" w:code="9"/>
      <w:pgMar w:top="822" w:right="1558" w:bottom="851" w:left="851" w:header="284" w:footer="3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94A9" w14:textId="77777777" w:rsidR="001E4DDF" w:rsidRDefault="001E4DDF">
      <w:r>
        <w:separator/>
      </w:r>
    </w:p>
    <w:p w14:paraId="204DD9C9" w14:textId="77777777" w:rsidR="001E4DDF" w:rsidRDefault="001E4DDF"/>
    <w:p w14:paraId="65A8A4F2" w14:textId="77777777" w:rsidR="001E4DDF" w:rsidRDefault="001E4DDF" w:rsidP="002E5C94"/>
  </w:endnote>
  <w:endnote w:type="continuationSeparator" w:id="0">
    <w:p w14:paraId="784FC24E" w14:textId="77777777" w:rsidR="001E4DDF" w:rsidRDefault="001E4DDF">
      <w:r>
        <w:continuationSeparator/>
      </w:r>
    </w:p>
    <w:p w14:paraId="26DE1230" w14:textId="77777777" w:rsidR="001E4DDF" w:rsidRDefault="001E4DDF"/>
    <w:p w14:paraId="306C8BFD" w14:textId="77777777" w:rsidR="001E4DDF" w:rsidRDefault="001E4DDF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E4C0" w14:textId="77777777" w:rsidR="009C2F9A" w:rsidRDefault="009C2F9A">
    <w:pPr>
      <w:pStyle w:val="Zpat"/>
    </w:pPr>
  </w:p>
  <w:p w14:paraId="61E5546B" w14:textId="77777777" w:rsidR="00E756E5" w:rsidRPr="00E2005E" w:rsidRDefault="00E756E5" w:rsidP="000263BB">
    <w:pPr>
      <w:pStyle w:val="Zpat"/>
      <w:tabs>
        <w:tab w:val="clear" w:pos="4536"/>
        <w:tab w:val="clear" w:pos="9072"/>
        <w:tab w:val="center" w:pos="4820"/>
        <w:tab w:val="right" w:pos="9639"/>
      </w:tabs>
      <w:jc w:val="left"/>
      <w:rPr>
        <w:rFonts w:cs="Segoe U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5C28" w14:textId="77777777" w:rsidR="001E4DDF" w:rsidRDefault="001E4DDF">
      <w:r>
        <w:separator/>
      </w:r>
    </w:p>
    <w:p w14:paraId="61143D1A" w14:textId="77777777" w:rsidR="001E4DDF" w:rsidRDefault="001E4DDF"/>
    <w:p w14:paraId="6078EEBA" w14:textId="77777777" w:rsidR="001E4DDF" w:rsidRDefault="001E4DDF" w:rsidP="002E5C94"/>
  </w:footnote>
  <w:footnote w:type="continuationSeparator" w:id="0">
    <w:p w14:paraId="1F5F65CA" w14:textId="77777777" w:rsidR="001E4DDF" w:rsidRDefault="001E4DDF">
      <w:r>
        <w:continuationSeparator/>
      </w:r>
    </w:p>
    <w:p w14:paraId="29D0BE77" w14:textId="77777777" w:rsidR="001E4DDF" w:rsidRDefault="001E4DDF"/>
    <w:p w14:paraId="4827AB07" w14:textId="77777777" w:rsidR="001E4DDF" w:rsidRDefault="001E4DDF" w:rsidP="002E5C94"/>
  </w:footnote>
  <w:footnote w:id="1">
    <w:p w14:paraId="412022CB" w14:textId="77777777" w:rsidR="006D028E" w:rsidRPr="00A0270B" w:rsidRDefault="006D028E" w:rsidP="006D028E">
      <w:pPr>
        <w:pStyle w:val="Textpoznpodarou"/>
        <w:rPr>
          <w:rFonts w:ascii="Segoe UI" w:hAnsi="Segoe UI" w:cs="Segoe UI"/>
          <w:sz w:val="18"/>
          <w:szCs w:val="18"/>
        </w:rPr>
      </w:pPr>
      <w:r w:rsidRPr="00A0270B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A0270B">
        <w:rPr>
          <w:rFonts w:ascii="Segoe UI" w:hAnsi="Segoe UI" w:cs="Segoe UI"/>
          <w:sz w:val="18"/>
          <w:szCs w:val="18"/>
        </w:rPr>
        <w:t xml:space="preserve"> Jedná-li se o první fázi klinického hodnocení za účasti zdravých dobrovolníků. Odměnu je možné poskytnout pouze v podobě výplaty finanční částky v hotovosti nebo na vlastní účet subjektu hodnocení či stravenek (jiných poukázek) s adekvátní finanční hodnotou. Subjekt hodnocení má vždy právo vybrat si druh výplaty odměny. </w:t>
      </w:r>
    </w:p>
    <w:p w14:paraId="08E3A1B0" w14:textId="77777777" w:rsidR="006D028E" w:rsidRPr="00A0270B" w:rsidRDefault="006D028E" w:rsidP="006D028E">
      <w:pPr>
        <w:pStyle w:val="Textpoznpodarou"/>
        <w:rPr>
          <w:rFonts w:ascii="Segoe UI" w:hAnsi="Segoe UI" w:cs="Segoe UI"/>
          <w:sz w:val="18"/>
          <w:szCs w:val="18"/>
        </w:rPr>
      </w:pPr>
    </w:p>
  </w:footnote>
  <w:footnote w:id="2">
    <w:p w14:paraId="1FBE8B8C" w14:textId="77777777" w:rsidR="006D028E" w:rsidRPr="007141CA" w:rsidRDefault="006D028E" w:rsidP="006D028E">
      <w:pPr>
        <w:pStyle w:val="Textpoznpodarou"/>
        <w:jc w:val="both"/>
      </w:pPr>
      <w:r w:rsidRPr="00A0270B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A0270B">
        <w:rPr>
          <w:rFonts w:ascii="Segoe UI" w:hAnsi="Segoe UI" w:cs="Segoe UI"/>
          <w:sz w:val="18"/>
          <w:szCs w:val="18"/>
        </w:rPr>
        <w:t xml:space="preserve"> Jedná-li se o účast subjektu hodnocení v klinickém hodnocení – kompenzace je možné poskytnout pouze v podobě výplaty finanční částky v hotovosti nebo na vlastní účet subjektu hodnocení či stravenek (jiných poukázek) s adekvátní finanční hodnotou. Subjekt hodnocení má vždy právo vybrat si druh výplaty kompenzace.</w:t>
      </w:r>
      <w:r w:rsidRPr="00A0270B">
        <w:rPr>
          <w:sz w:val="18"/>
          <w:szCs w:val="18"/>
        </w:rPr>
        <w:t xml:space="preserve"> </w:t>
      </w:r>
    </w:p>
  </w:footnote>
  <w:footnote w:id="3">
    <w:p w14:paraId="6BFC2C95" w14:textId="77777777" w:rsidR="009C5966" w:rsidRPr="003C77E1" w:rsidRDefault="009C5966" w:rsidP="009C5966">
      <w:pPr>
        <w:ind w:firstLine="502"/>
        <w:rPr>
          <w:sz w:val="20"/>
        </w:rPr>
      </w:pPr>
      <w:r w:rsidRPr="007141CA">
        <w:rPr>
          <w:rStyle w:val="Znakapoznpodarou"/>
        </w:rPr>
        <w:footnoteRef/>
      </w:r>
      <w:r w:rsidRPr="007141CA">
        <w:t xml:space="preserve"> </w:t>
      </w:r>
      <w:r w:rsidRPr="007141CA">
        <w:rPr>
          <w:sz w:val="20"/>
        </w:rPr>
        <w:t>Zákon č. 110/2019 Sb. nahrazuje zákon č. 101/2000 Sb., o ochraně</w:t>
      </w:r>
      <w:r w:rsidRPr="003C77E1">
        <w:rPr>
          <w:sz w:val="20"/>
        </w:rPr>
        <w:t xml:space="preserve"> osobních údajů a o změně některých zákonů. </w:t>
      </w:r>
    </w:p>
    <w:p w14:paraId="44474F35" w14:textId="77777777" w:rsidR="009C5966" w:rsidRDefault="009C5966" w:rsidP="009C59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2102" w14:textId="77777777" w:rsidR="00E756E5" w:rsidRPr="004000BB" w:rsidRDefault="00E756E5" w:rsidP="00337E4F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 wp14:anchorId="7F692132" wp14:editId="7F2B7478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14:paraId="517744C2" w14:textId="77777777" w:rsidR="00E756E5" w:rsidRPr="007D0D3D" w:rsidRDefault="00E756E5" w:rsidP="00337E4F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14:paraId="6795AA34" w14:textId="77777777" w:rsidR="00067BAC" w:rsidRDefault="00067BAC" w:rsidP="00E36BFF">
    <w:pPr>
      <w:spacing w:line="360" w:lineRule="auto"/>
      <w:ind w:left="1985"/>
      <w:rPr>
        <w:rFonts w:cs="Segoe UI"/>
        <w:b/>
        <w:caps/>
        <w:color w:val="0C0C72"/>
        <w:sz w:val="24"/>
      </w:rPr>
    </w:pPr>
    <w:r w:rsidRPr="00067BAC">
      <w:rPr>
        <w:rFonts w:cs="Segoe UI"/>
        <w:b/>
        <w:caps/>
        <w:color w:val="0C0C72"/>
        <w:sz w:val="24"/>
      </w:rPr>
      <w:t>Etická komise Všeobecné fakultní nemocnice v</w:t>
    </w:r>
    <w:r w:rsidR="00E36BFF">
      <w:rPr>
        <w:rFonts w:cs="Segoe UI"/>
        <w:b/>
        <w:caps/>
        <w:color w:val="0C0C72"/>
        <w:sz w:val="24"/>
      </w:rPr>
      <w:t> </w:t>
    </w:r>
    <w:r w:rsidRPr="00067BAC">
      <w:rPr>
        <w:rFonts w:cs="Segoe UI"/>
        <w:b/>
        <w:caps/>
        <w:color w:val="0C0C72"/>
        <w:sz w:val="24"/>
      </w:rPr>
      <w:t>Praze</w:t>
    </w:r>
  </w:p>
  <w:p w14:paraId="73AF8406" w14:textId="77777777" w:rsidR="00E36BFF" w:rsidRPr="00E36BFF" w:rsidRDefault="00E36BFF" w:rsidP="00E36BFF">
    <w:pPr>
      <w:spacing w:line="360" w:lineRule="auto"/>
      <w:ind w:left="1984"/>
      <w:rPr>
        <w:rFonts w:cs="Segoe UI"/>
        <w:b/>
        <w:caps/>
        <w:color w:val="0C0C72"/>
        <w:sz w:val="24"/>
      </w:rPr>
    </w:pPr>
  </w:p>
  <w:p w14:paraId="2F68D30A" w14:textId="77777777" w:rsidR="00E756E5" w:rsidRPr="00B13A8E" w:rsidRDefault="00230120" w:rsidP="00F0538B">
    <w:pPr>
      <w:pStyle w:val="VFNhl-2-"/>
      <w:rPr>
        <w:rStyle w:val="Nzevknihy"/>
      </w:rPr>
    </w:pPr>
    <w:r>
      <w:rPr>
        <w:rStyle w:val="Nzevknihy"/>
      </w:rPr>
      <w:t xml:space="preserve">Příloha </w:t>
    </w:r>
    <w:r w:rsidR="0066281B">
      <w:rPr>
        <w:rStyle w:val="Nzevknihy"/>
      </w:rPr>
      <w:t>č.</w:t>
    </w:r>
    <w:r w:rsidR="00AB442E">
      <w:rPr>
        <w:rStyle w:val="Nzevknihy"/>
      </w:rPr>
      <w:t xml:space="preserve"> </w:t>
    </w:r>
    <w:r w:rsidR="005D738D">
      <w:rPr>
        <w:rStyle w:val="Nzevknihy"/>
      </w:rPr>
      <w:t>2</w:t>
    </w:r>
    <w:r w:rsidR="00E756E5" w:rsidRPr="00B13A8E">
      <w:rPr>
        <w:rStyle w:val="Nzevknihy"/>
      </w:rPr>
      <w:t xml:space="preserve"> | </w:t>
    </w:r>
    <w:r w:rsidR="005A4E42">
      <w:rPr>
        <w:rStyle w:val="Nzevknihy"/>
      </w:rPr>
      <w:t>SPP-</w:t>
    </w:r>
    <w:proofErr w:type="gramStart"/>
    <w:r w:rsidR="007400D3">
      <w:rPr>
        <w:rStyle w:val="Nzevknihy"/>
      </w:rPr>
      <w:t>03</w:t>
    </w:r>
    <w:r w:rsidR="00F0538B">
      <w:rPr>
        <w:rStyle w:val="Nzevknihy"/>
      </w:rPr>
      <w:t>a</w:t>
    </w:r>
    <w:proofErr w:type="gramEnd"/>
    <w:r w:rsidR="00E756E5" w:rsidRPr="00B13A8E">
      <w:rPr>
        <w:rStyle w:val="Nzevknihy"/>
      </w:rPr>
      <w:t xml:space="preserve"> | strana </w:t>
    </w:r>
    <w:r w:rsidR="00B3111A" w:rsidRPr="00B13A8E">
      <w:rPr>
        <w:rStyle w:val="Nzevknihy"/>
      </w:rPr>
      <w:fldChar w:fldCharType="begin"/>
    </w:r>
    <w:r w:rsidR="00E756E5" w:rsidRPr="00B13A8E">
      <w:rPr>
        <w:rStyle w:val="Nzevknihy"/>
      </w:rPr>
      <w:instrText xml:space="preserve"> PAGE  \* Arabic  \* MERGEFORMAT </w:instrText>
    </w:r>
    <w:r w:rsidR="00B3111A" w:rsidRPr="00B13A8E">
      <w:rPr>
        <w:rStyle w:val="Nzevknihy"/>
      </w:rPr>
      <w:fldChar w:fldCharType="separate"/>
    </w:r>
    <w:r w:rsidR="00442026">
      <w:rPr>
        <w:rStyle w:val="Nzevknihy"/>
        <w:noProof/>
      </w:rPr>
      <w:t>3</w:t>
    </w:r>
    <w:r w:rsidR="00B3111A" w:rsidRPr="00B13A8E">
      <w:rPr>
        <w:rStyle w:val="Nzevknihy"/>
      </w:rPr>
      <w:fldChar w:fldCharType="end"/>
    </w:r>
    <w:r w:rsidR="00E756E5" w:rsidRPr="00B13A8E">
      <w:rPr>
        <w:rStyle w:val="Nzevknihy"/>
      </w:rPr>
      <w:t xml:space="preserve"> z </w:t>
    </w:r>
    <w:fldSimple w:instr=" NUMPAGES   \* MERGEFORMAT ">
      <w:r w:rsidR="00442026" w:rsidRPr="00442026">
        <w:rPr>
          <w:rStyle w:val="Nzevknihy"/>
          <w:noProof/>
        </w:rPr>
        <w:t>3</w:t>
      </w:r>
    </w:fldSimple>
    <w:r w:rsidR="00E756E5" w:rsidRPr="00B13A8E">
      <w:rPr>
        <w:rStyle w:val="Nzevknihy"/>
      </w:rPr>
      <w:t xml:space="preserve"> | verze 1</w:t>
    </w:r>
    <w:r w:rsidR="001E54D2">
      <w:rPr>
        <w:rStyle w:val="Nzevknihy"/>
      </w:rPr>
      <w:t>.1</w:t>
    </w:r>
    <w:r w:rsidR="006D028E">
      <w:rPr>
        <w:rStyle w:val="Nzevknihy"/>
      </w:rPr>
      <w:t>3</w:t>
    </w:r>
    <w:r w:rsidR="001E54D2">
      <w:rPr>
        <w:rStyle w:val="Nzevknihy"/>
      </w:rPr>
      <w:t xml:space="preserve"> </w:t>
    </w:r>
  </w:p>
  <w:p w14:paraId="63750005" w14:textId="77777777" w:rsidR="006E34F7" w:rsidRDefault="00AF2F4C" w:rsidP="00E352D3">
    <w:pPr>
      <w:pStyle w:val="Nzev"/>
    </w:pPr>
    <w:r>
      <w:t xml:space="preserve">Osnova </w:t>
    </w:r>
    <w:r w:rsidR="00E352D3">
      <w:t>„</w:t>
    </w:r>
    <w:r w:rsidR="00A6636D">
      <w:t xml:space="preserve">Informace pro subjekt hodnocení při </w:t>
    </w:r>
    <w:r>
      <w:t>klinickém hodnocení léčiv“</w:t>
    </w:r>
  </w:p>
  <w:p w14:paraId="1A8EB468" w14:textId="77777777" w:rsidR="006E34F7" w:rsidRPr="006E34F7" w:rsidRDefault="006E34F7" w:rsidP="006E3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4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11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14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4506793">
    <w:abstractNumId w:val="9"/>
  </w:num>
  <w:num w:numId="2" w16cid:durableId="962810568">
    <w:abstractNumId w:val="14"/>
  </w:num>
  <w:num w:numId="3" w16cid:durableId="2021200638">
    <w:abstractNumId w:val="12"/>
  </w:num>
  <w:num w:numId="4" w16cid:durableId="588346053">
    <w:abstractNumId w:val="4"/>
  </w:num>
  <w:num w:numId="5" w16cid:durableId="1373965185">
    <w:abstractNumId w:val="15"/>
  </w:num>
  <w:num w:numId="6" w16cid:durableId="1696232593">
    <w:abstractNumId w:val="7"/>
  </w:num>
  <w:num w:numId="7" w16cid:durableId="61413267">
    <w:abstractNumId w:val="1"/>
  </w:num>
  <w:num w:numId="8" w16cid:durableId="604267948">
    <w:abstractNumId w:val="5"/>
  </w:num>
  <w:num w:numId="9" w16cid:durableId="1239167737">
    <w:abstractNumId w:val="2"/>
  </w:num>
  <w:num w:numId="10" w16cid:durableId="1401364023">
    <w:abstractNumId w:val="6"/>
  </w:num>
  <w:num w:numId="11" w16cid:durableId="790131936">
    <w:abstractNumId w:val="13"/>
  </w:num>
  <w:num w:numId="12" w16cid:durableId="1161585236">
    <w:abstractNumId w:val="3"/>
  </w:num>
  <w:num w:numId="13" w16cid:durableId="324094956">
    <w:abstractNumId w:val="0"/>
  </w:num>
  <w:num w:numId="14" w16cid:durableId="786461760">
    <w:abstractNumId w:val="8"/>
  </w:num>
  <w:num w:numId="15" w16cid:durableId="155921661">
    <w:abstractNumId w:val="11"/>
  </w:num>
  <w:num w:numId="16" w16cid:durableId="210534620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263BB"/>
    <w:rsid w:val="0004091A"/>
    <w:rsid w:val="000500A2"/>
    <w:rsid w:val="00067BAC"/>
    <w:rsid w:val="000801EB"/>
    <w:rsid w:val="00095CAA"/>
    <w:rsid w:val="000964AE"/>
    <w:rsid w:val="000A29E9"/>
    <w:rsid w:val="000C5880"/>
    <w:rsid w:val="000D2540"/>
    <w:rsid w:val="000E4840"/>
    <w:rsid w:val="000F5043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5C2D"/>
    <w:rsid w:val="0014171B"/>
    <w:rsid w:val="00155DD9"/>
    <w:rsid w:val="00166E78"/>
    <w:rsid w:val="00171F40"/>
    <w:rsid w:val="001B0D1B"/>
    <w:rsid w:val="001B3268"/>
    <w:rsid w:val="001B3690"/>
    <w:rsid w:val="001D1201"/>
    <w:rsid w:val="001D4815"/>
    <w:rsid w:val="001E4DDF"/>
    <w:rsid w:val="001E54D2"/>
    <w:rsid w:val="001E5C7F"/>
    <w:rsid w:val="00211D42"/>
    <w:rsid w:val="00230120"/>
    <w:rsid w:val="002337AD"/>
    <w:rsid w:val="00241A9C"/>
    <w:rsid w:val="00253496"/>
    <w:rsid w:val="0026334F"/>
    <w:rsid w:val="002702B7"/>
    <w:rsid w:val="00274716"/>
    <w:rsid w:val="002836BB"/>
    <w:rsid w:val="00284BEF"/>
    <w:rsid w:val="00291A79"/>
    <w:rsid w:val="002A43B0"/>
    <w:rsid w:val="002A6ABF"/>
    <w:rsid w:val="002B7ECB"/>
    <w:rsid w:val="002C5BCC"/>
    <w:rsid w:val="002C6D95"/>
    <w:rsid w:val="002D56D3"/>
    <w:rsid w:val="002D7A1E"/>
    <w:rsid w:val="002E2E89"/>
    <w:rsid w:val="002E5C94"/>
    <w:rsid w:val="002F1844"/>
    <w:rsid w:val="002F3DAE"/>
    <w:rsid w:val="00300EFF"/>
    <w:rsid w:val="00310E4E"/>
    <w:rsid w:val="00324820"/>
    <w:rsid w:val="00337E4F"/>
    <w:rsid w:val="00351059"/>
    <w:rsid w:val="00354FD5"/>
    <w:rsid w:val="00364E1D"/>
    <w:rsid w:val="003B288E"/>
    <w:rsid w:val="003B70FF"/>
    <w:rsid w:val="003C53AE"/>
    <w:rsid w:val="003C581C"/>
    <w:rsid w:val="003D03DA"/>
    <w:rsid w:val="003D0B94"/>
    <w:rsid w:val="003E0A83"/>
    <w:rsid w:val="003E0AC8"/>
    <w:rsid w:val="003F0068"/>
    <w:rsid w:val="0041552C"/>
    <w:rsid w:val="00416FCC"/>
    <w:rsid w:val="00441F02"/>
    <w:rsid w:val="00442026"/>
    <w:rsid w:val="00446F35"/>
    <w:rsid w:val="00454629"/>
    <w:rsid w:val="004A1334"/>
    <w:rsid w:val="004A3F14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26A34"/>
    <w:rsid w:val="0054220C"/>
    <w:rsid w:val="005435C2"/>
    <w:rsid w:val="00552A9C"/>
    <w:rsid w:val="00553553"/>
    <w:rsid w:val="00560167"/>
    <w:rsid w:val="00566A78"/>
    <w:rsid w:val="0059556A"/>
    <w:rsid w:val="005A4E42"/>
    <w:rsid w:val="005B21C6"/>
    <w:rsid w:val="005B43A5"/>
    <w:rsid w:val="005D5D58"/>
    <w:rsid w:val="005D738D"/>
    <w:rsid w:val="005E4B93"/>
    <w:rsid w:val="00607258"/>
    <w:rsid w:val="00613473"/>
    <w:rsid w:val="006154EC"/>
    <w:rsid w:val="006158A3"/>
    <w:rsid w:val="00640C92"/>
    <w:rsid w:val="00643F33"/>
    <w:rsid w:val="00644353"/>
    <w:rsid w:val="0066281B"/>
    <w:rsid w:val="00665E09"/>
    <w:rsid w:val="006C01A4"/>
    <w:rsid w:val="006D028E"/>
    <w:rsid w:val="006E34F7"/>
    <w:rsid w:val="006E7287"/>
    <w:rsid w:val="00700BDB"/>
    <w:rsid w:val="00710DF5"/>
    <w:rsid w:val="007271C8"/>
    <w:rsid w:val="00732537"/>
    <w:rsid w:val="007400D3"/>
    <w:rsid w:val="007413F5"/>
    <w:rsid w:val="00750192"/>
    <w:rsid w:val="00751083"/>
    <w:rsid w:val="00760487"/>
    <w:rsid w:val="00783974"/>
    <w:rsid w:val="00785F3B"/>
    <w:rsid w:val="00787DF6"/>
    <w:rsid w:val="007970D2"/>
    <w:rsid w:val="007B02F9"/>
    <w:rsid w:val="007D0204"/>
    <w:rsid w:val="007D0D3D"/>
    <w:rsid w:val="007E39B2"/>
    <w:rsid w:val="007E6671"/>
    <w:rsid w:val="007E71E4"/>
    <w:rsid w:val="007F1B78"/>
    <w:rsid w:val="007F3070"/>
    <w:rsid w:val="008144E1"/>
    <w:rsid w:val="008254D6"/>
    <w:rsid w:val="00834128"/>
    <w:rsid w:val="00836E94"/>
    <w:rsid w:val="00855533"/>
    <w:rsid w:val="00861F04"/>
    <w:rsid w:val="00872CCE"/>
    <w:rsid w:val="00873D72"/>
    <w:rsid w:val="0087729D"/>
    <w:rsid w:val="00881FA2"/>
    <w:rsid w:val="008915A0"/>
    <w:rsid w:val="0089277D"/>
    <w:rsid w:val="008975A7"/>
    <w:rsid w:val="008D21CE"/>
    <w:rsid w:val="008D6DD5"/>
    <w:rsid w:val="008E1260"/>
    <w:rsid w:val="00902AD7"/>
    <w:rsid w:val="00904515"/>
    <w:rsid w:val="009121D4"/>
    <w:rsid w:val="009133EE"/>
    <w:rsid w:val="00935924"/>
    <w:rsid w:val="0096731B"/>
    <w:rsid w:val="00976A94"/>
    <w:rsid w:val="00992488"/>
    <w:rsid w:val="009957F0"/>
    <w:rsid w:val="009A2E9F"/>
    <w:rsid w:val="009A3F3A"/>
    <w:rsid w:val="009C09CC"/>
    <w:rsid w:val="009C2F9A"/>
    <w:rsid w:val="009C4D23"/>
    <w:rsid w:val="009C5966"/>
    <w:rsid w:val="009C7BEE"/>
    <w:rsid w:val="009D07A9"/>
    <w:rsid w:val="009D0831"/>
    <w:rsid w:val="00A014C3"/>
    <w:rsid w:val="00A0270B"/>
    <w:rsid w:val="00A23318"/>
    <w:rsid w:val="00A23487"/>
    <w:rsid w:val="00A44CE0"/>
    <w:rsid w:val="00A6587B"/>
    <w:rsid w:val="00A6636D"/>
    <w:rsid w:val="00A71EE5"/>
    <w:rsid w:val="00A847DE"/>
    <w:rsid w:val="00A8512D"/>
    <w:rsid w:val="00A9596A"/>
    <w:rsid w:val="00A9762C"/>
    <w:rsid w:val="00AB442E"/>
    <w:rsid w:val="00AC0787"/>
    <w:rsid w:val="00AD507A"/>
    <w:rsid w:val="00AF2F4C"/>
    <w:rsid w:val="00B04389"/>
    <w:rsid w:val="00B06334"/>
    <w:rsid w:val="00B13A8E"/>
    <w:rsid w:val="00B22A76"/>
    <w:rsid w:val="00B22B58"/>
    <w:rsid w:val="00B3111A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7D00"/>
    <w:rsid w:val="00C05271"/>
    <w:rsid w:val="00C121E1"/>
    <w:rsid w:val="00C12BBA"/>
    <w:rsid w:val="00C159F6"/>
    <w:rsid w:val="00C20035"/>
    <w:rsid w:val="00C41EBA"/>
    <w:rsid w:val="00C5310D"/>
    <w:rsid w:val="00C6320B"/>
    <w:rsid w:val="00C70C0B"/>
    <w:rsid w:val="00C71825"/>
    <w:rsid w:val="00C75A75"/>
    <w:rsid w:val="00C86B70"/>
    <w:rsid w:val="00CA1DD2"/>
    <w:rsid w:val="00CD068A"/>
    <w:rsid w:val="00CF683F"/>
    <w:rsid w:val="00D04B12"/>
    <w:rsid w:val="00D0502F"/>
    <w:rsid w:val="00D13D26"/>
    <w:rsid w:val="00D27A0C"/>
    <w:rsid w:val="00D31809"/>
    <w:rsid w:val="00D41A31"/>
    <w:rsid w:val="00D44EFE"/>
    <w:rsid w:val="00D535E6"/>
    <w:rsid w:val="00D53DBE"/>
    <w:rsid w:val="00D647B4"/>
    <w:rsid w:val="00D73F6E"/>
    <w:rsid w:val="00DA2BF0"/>
    <w:rsid w:val="00DB7109"/>
    <w:rsid w:val="00DC12B9"/>
    <w:rsid w:val="00DC4C3E"/>
    <w:rsid w:val="00DD1172"/>
    <w:rsid w:val="00DD72C2"/>
    <w:rsid w:val="00DE2496"/>
    <w:rsid w:val="00DE3028"/>
    <w:rsid w:val="00DF72A9"/>
    <w:rsid w:val="00E2005E"/>
    <w:rsid w:val="00E21F95"/>
    <w:rsid w:val="00E24DC8"/>
    <w:rsid w:val="00E352D3"/>
    <w:rsid w:val="00E36BFF"/>
    <w:rsid w:val="00E62544"/>
    <w:rsid w:val="00E6417E"/>
    <w:rsid w:val="00E7201B"/>
    <w:rsid w:val="00E756E5"/>
    <w:rsid w:val="00E90195"/>
    <w:rsid w:val="00E928F0"/>
    <w:rsid w:val="00EA1B65"/>
    <w:rsid w:val="00EA572D"/>
    <w:rsid w:val="00EB452C"/>
    <w:rsid w:val="00EC1AFB"/>
    <w:rsid w:val="00EE20F6"/>
    <w:rsid w:val="00F0538B"/>
    <w:rsid w:val="00F07DCB"/>
    <w:rsid w:val="00F5194A"/>
    <w:rsid w:val="00F57131"/>
    <w:rsid w:val="00F74E22"/>
    <w:rsid w:val="00F77EEB"/>
    <w:rsid w:val="00F832B6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A825E"/>
  <w15:docId w15:val="{C9DA76E1-E2F7-4DB0-9EE3-3DCA776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5D5D58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D5D58"/>
    <w:rPr>
      <w:i/>
      <w:iCs/>
      <w:color w:val="008000"/>
    </w:rPr>
  </w:style>
  <w:style w:type="paragraph" w:styleId="Zhlav">
    <w:name w:val="header"/>
    <w:basedOn w:val="Normln"/>
    <w:link w:val="ZhlavChar"/>
    <w:rsid w:val="005D5D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D5D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5D58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5D5D58"/>
    <w:rPr>
      <w:color w:val="0000FF"/>
      <w:u w:val="single"/>
    </w:rPr>
  </w:style>
  <w:style w:type="paragraph" w:styleId="Zkladntext">
    <w:name w:val="Body Text"/>
    <w:basedOn w:val="Normln"/>
    <w:rsid w:val="005D5D58"/>
    <w:rPr>
      <w:color w:val="008000"/>
    </w:rPr>
  </w:style>
  <w:style w:type="paragraph" w:styleId="Zkladntext3">
    <w:name w:val="Body Text 3"/>
    <w:basedOn w:val="Normln"/>
    <w:rsid w:val="00253496"/>
  </w:style>
  <w:style w:type="character" w:styleId="Sledovanodkaz">
    <w:name w:val="FollowedHyperlink"/>
    <w:basedOn w:val="Standardnpsmoodstavce"/>
    <w:rsid w:val="005D5D58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character" w:customStyle="1" w:styleId="ZpatChar">
    <w:name w:val="Zápatí Char"/>
    <w:basedOn w:val="Standardnpsmoodstavce"/>
    <w:link w:val="Zpat"/>
    <w:uiPriority w:val="99"/>
    <w:rsid w:val="009C2F9A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kl.cz/leciva/klh-22-verze-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fnpraha.sharepoint.com/sites/pracoviste/uvvv/SitePages/ridicidokumentace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C7D14-1414-462C-B779-7AB8FEEF7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3</Pages>
  <Words>1054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7261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Emrová Zuzana, Ing.</cp:lastModifiedBy>
  <cp:revision>3</cp:revision>
  <cp:lastPrinted>2003-10-21T14:25:00Z</cp:lastPrinted>
  <dcterms:created xsi:type="dcterms:W3CDTF">2023-05-02T11:38:00Z</dcterms:created>
  <dcterms:modified xsi:type="dcterms:W3CDTF">2023-05-11T06:30:00Z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